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3" w:rsidRDefault="000B5B83" w:rsidP="000B5B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MODELAÇÃO DOS RECURSOS FLORESTAIS 2019/20</w:t>
      </w:r>
    </w:p>
    <w:p w:rsidR="000B5B83" w:rsidRPr="00900BD1" w:rsidRDefault="000B5B83" w:rsidP="000B5B83">
      <w:pPr>
        <w:jc w:val="center"/>
        <w:rPr>
          <w:b/>
          <w:i/>
          <w:sz w:val="28"/>
          <w:szCs w:val="28"/>
        </w:rPr>
      </w:pPr>
      <w:r w:rsidRPr="00900BD1">
        <w:rPr>
          <w:b/>
          <w:i/>
          <w:sz w:val="28"/>
          <w:szCs w:val="28"/>
        </w:rPr>
        <w:t>FOREST MODELS 2019/20</w:t>
      </w:r>
    </w:p>
    <w:p w:rsidR="000B5B83" w:rsidRPr="00D41DC6" w:rsidRDefault="00D41DC6" w:rsidP="000B5B83">
      <w:pPr>
        <w:jc w:val="center"/>
        <w:rPr>
          <w:b/>
          <w:i/>
          <w:sz w:val="24"/>
          <w:szCs w:val="24"/>
          <w:lang w:val="en-US"/>
        </w:rPr>
      </w:pPr>
      <w:r w:rsidRPr="00D41DC6">
        <w:rPr>
          <w:b/>
          <w:i/>
          <w:sz w:val="24"/>
          <w:szCs w:val="24"/>
          <w:lang w:val="en-US"/>
        </w:rPr>
        <w:t>Continuous evaluation – Topic 6</w:t>
      </w:r>
    </w:p>
    <w:p w:rsidR="000B5B83" w:rsidRDefault="00D41DC6" w:rsidP="000B5B83">
      <w:pPr>
        <w:jc w:val="center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StandsSIM</w:t>
      </w:r>
      <w:proofErr w:type="spellEnd"/>
      <w:r>
        <w:rPr>
          <w:b/>
          <w:i/>
          <w:sz w:val="24"/>
          <w:szCs w:val="24"/>
          <w:lang w:val="en-US"/>
        </w:rPr>
        <w:t>, simulator practice</w:t>
      </w:r>
    </w:p>
    <w:p w:rsidR="002F51DD" w:rsidRDefault="002F51DD">
      <w:pPr>
        <w:rPr>
          <w:lang w:val="en-US"/>
        </w:rPr>
      </w:pPr>
    </w:p>
    <w:p w:rsidR="00D41DC6" w:rsidRDefault="00D41DC6" w:rsidP="00D41DC6">
      <w:pPr>
        <w:rPr>
          <w:rFonts w:ascii="Arial" w:hAnsi="Arial" w:cs="Arial"/>
          <w:color w:val="000000" w:themeColor="text1"/>
          <w:lang w:val="en-US"/>
        </w:rPr>
      </w:pPr>
      <w:proofErr w:type="spellStart"/>
      <w:proofErr w:type="gramStart"/>
      <w:r w:rsidRPr="0056469F">
        <w:rPr>
          <w:rFonts w:ascii="Arial" w:hAnsi="Arial" w:cs="Arial"/>
          <w:color w:val="000000" w:themeColor="text1"/>
          <w:lang w:val="en-GB"/>
        </w:rPr>
        <w:t>sIMfLOR</w:t>
      </w:r>
      <w:proofErr w:type="spellEnd"/>
      <w:proofErr w:type="gramEnd"/>
      <w:r w:rsidRPr="0056469F">
        <w:rPr>
          <w:rFonts w:ascii="Arial" w:hAnsi="Arial" w:cs="Arial"/>
          <w:color w:val="000000" w:themeColor="text1"/>
          <w:lang w:val="en-GB"/>
        </w:rPr>
        <w:t xml:space="preserve"> is a platform that integrates several simulators developed for the main Portuguese forest species under a common environment.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 w:rsidR="00263BAB">
        <w:rPr>
          <w:rFonts w:ascii="Arial" w:hAnsi="Arial" w:cs="Arial"/>
          <w:color w:val="000000" w:themeColor="text1"/>
          <w:lang w:val="en-GB"/>
        </w:rPr>
        <w:t xml:space="preserve">Using StandsSIM.md run the following simulations and answer the </w:t>
      </w:r>
      <w:r w:rsidR="00263BAB">
        <w:rPr>
          <w:rFonts w:ascii="Arial" w:hAnsi="Arial" w:cs="Arial"/>
          <w:color w:val="000000" w:themeColor="text1"/>
          <w:lang w:val="en-US"/>
        </w:rPr>
        <w:t>following questions.</w:t>
      </w:r>
    </w:p>
    <w:p w:rsidR="00141AD2" w:rsidRDefault="00263BAB" w:rsidP="00141AD2">
      <w:pPr>
        <w:rPr>
          <w:rFonts w:ascii="Arial" w:hAnsi="Arial" w:cs="Arial"/>
          <w:color w:val="000000" w:themeColor="text1"/>
          <w:lang w:val="en-US"/>
        </w:rPr>
      </w:pPr>
      <w:r w:rsidRPr="0095718D">
        <w:rPr>
          <w:rFonts w:ascii="Arial" w:hAnsi="Arial" w:cs="Arial"/>
          <w:b/>
          <w:color w:val="000000" w:themeColor="text1"/>
          <w:lang w:val="en-US"/>
        </w:rPr>
        <w:t>Background information:</w:t>
      </w:r>
      <w:r w:rsidRPr="0095718D">
        <w:rPr>
          <w:rFonts w:ascii="Arial" w:hAnsi="Arial" w:cs="Arial"/>
          <w:color w:val="000000" w:themeColor="text1"/>
          <w:lang w:val="en-US"/>
        </w:rPr>
        <w:t xml:space="preserve"> São Salvador is a maritime pine thinning trial located in </w:t>
      </w:r>
      <w:proofErr w:type="spellStart"/>
      <w:r w:rsidRPr="0095718D">
        <w:rPr>
          <w:rFonts w:ascii="Arial" w:hAnsi="Arial" w:cs="Arial"/>
          <w:color w:val="000000" w:themeColor="text1"/>
          <w:lang w:val="en-US"/>
        </w:rPr>
        <w:t>Viseu</w:t>
      </w:r>
      <w:proofErr w:type="spellEnd"/>
      <w:r w:rsidRPr="0095718D">
        <w:rPr>
          <w:rFonts w:ascii="Arial" w:hAnsi="Arial" w:cs="Arial"/>
          <w:color w:val="000000" w:themeColor="text1"/>
          <w:lang w:val="en-US"/>
        </w:rPr>
        <w:t xml:space="preserve">. </w:t>
      </w:r>
      <w:r w:rsidRPr="0095718D">
        <w:rPr>
          <w:rFonts w:ascii="Arial" w:hAnsi="Arial" w:cs="Arial"/>
          <w:lang w:val="en-US"/>
        </w:rPr>
        <w:t xml:space="preserve">The trial established in 1981 in a naturally regenerated stand was 19 years old at the trial establishment. The experimental design is complete randomized block with </w:t>
      </w:r>
      <w:proofErr w:type="gramStart"/>
      <w:r w:rsidRPr="0095718D">
        <w:rPr>
          <w:rFonts w:ascii="Arial" w:hAnsi="Arial" w:cs="Arial"/>
          <w:lang w:val="en-US"/>
        </w:rPr>
        <w:t>4</w:t>
      </w:r>
      <w:proofErr w:type="gramEnd"/>
      <w:r w:rsidRPr="0095718D">
        <w:rPr>
          <w:rFonts w:ascii="Arial" w:hAnsi="Arial" w:cs="Arial"/>
          <w:lang w:val="en-US"/>
        </w:rPr>
        <w:t xml:space="preserve"> treatments: a control </w:t>
      </w:r>
      <w:r w:rsidR="00141AD2">
        <w:rPr>
          <w:rFonts w:ascii="Arial" w:hAnsi="Arial" w:cs="Arial"/>
          <w:lang w:val="en-US"/>
        </w:rPr>
        <w:t xml:space="preserve">(no thinning) </w:t>
      </w:r>
      <w:r w:rsidRPr="0095718D">
        <w:rPr>
          <w:rFonts w:ascii="Arial" w:hAnsi="Arial" w:cs="Arial"/>
          <w:lang w:val="en-US"/>
        </w:rPr>
        <w:t>and 3 thinning severities: heavy, intermediate</w:t>
      </w:r>
      <w:r w:rsidR="00141AD2">
        <w:rPr>
          <w:rFonts w:ascii="Arial" w:hAnsi="Arial" w:cs="Arial"/>
          <w:lang w:val="en-US"/>
        </w:rPr>
        <w:t xml:space="preserve"> and light. </w:t>
      </w:r>
      <w:r w:rsidRPr="0095718D">
        <w:rPr>
          <w:rFonts w:ascii="Arial" w:hAnsi="Arial" w:cs="Arial"/>
          <w:lang w:val="en-US"/>
        </w:rPr>
        <w:t>Each plot is rectangular and has a total area of 1000 m</w:t>
      </w:r>
      <w:r w:rsidRPr="0095718D">
        <w:rPr>
          <w:rFonts w:ascii="Arial" w:hAnsi="Arial" w:cs="Arial"/>
          <w:vertAlign w:val="superscript"/>
          <w:lang w:val="en-US"/>
        </w:rPr>
        <w:t>2</w:t>
      </w:r>
      <w:r w:rsidR="0095718D">
        <w:rPr>
          <w:rFonts w:ascii="Arial" w:hAnsi="Arial" w:cs="Arial"/>
          <w:lang w:val="en-US"/>
        </w:rPr>
        <w:t>.</w:t>
      </w:r>
      <w:r w:rsidR="0095718D" w:rsidRPr="0095718D">
        <w:rPr>
          <w:rFonts w:ascii="Arial" w:hAnsi="Arial" w:cs="Arial"/>
          <w:color w:val="000000" w:themeColor="text1"/>
          <w:lang w:val="en-US"/>
        </w:rPr>
        <w:t xml:space="preserve"> The stand is </w:t>
      </w:r>
      <w:r w:rsidR="00141AD2">
        <w:rPr>
          <w:rFonts w:ascii="Arial" w:hAnsi="Arial" w:cs="Arial"/>
          <w:color w:val="000000" w:themeColor="text1"/>
          <w:lang w:val="en-US"/>
        </w:rPr>
        <w:t xml:space="preserve">at an altitude of 553 m </w:t>
      </w:r>
      <w:proofErr w:type="spellStart"/>
      <w:r w:rsidR="00141AD2">
        <w:rPr>
          <w:rFonts w:ascii="Arial" w:hAnsi="Arial" w:cs="Arial"/>
          <w:color w:val="000000" w:themeColor="text1"/>
          <w:lang w:val="en-US"/>
        </w:rPr>
        <w:t>a.s.l</w:t>
      </w:r>
      <w:proofErr w:type="spellEnd"/>
      <w:r w:rsidR="00141AD2">
        <w:rPr>
          <w:rFonts w:ascii="Arial" w:hAnsi="Arial" w:cs="Arial"/>
          <w:color w:val="000000" w:themeColor="text1"/>
          <w:lang w:val="en-US"/>
        </w:rPr>
        <w:t xml:space="preserve">. Simulate from 1981 until 2012 considering </w:t>
      </w:r>
      <w:proofErr w:type="gramStart"/>
      <w:r w:rsidR="00141AD2">
        <w:rPr>
          <w:rFonts w:ascii="Arial" w:hAnsi="Arial" w:cs="Arial"/>
          <w:color w:val="000000" w:themeColor="text1"/>
          <w:lang w:val="en-US"/>
        </w:rPr>
        <w:t>3</w:t>
      </w:r>
      <w:proofErr w:type="gramEnd"/>
      <w:r w:rsidR="00141AD2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141AD2">
        <w:rPr>
          <w:rFonts w:ascii="Arial" w:hAnsi="Arial" w:cs="Arial"/>
          <w:color w:val="000000" w:themeColor="text1"/>
          <w:lang w:val="en-US"/>
        </w:rPr>
        <w:t>thinnings</w:t>
      </w:r>
      <w:proofErr w:type="spellEnd"/>
      <w:r w:rsidR="00141AD2">
        <w:rPr>
          <w:rFonts w:ascii="Arial" w:hAnsi="Arial" w:cs="Arial"/>
          <w:color w:val="000000" w:themeColor="text1"/>
          <w:lang w:val="en-US"/>
        </w:rPr>
        <w:t xml:space="preserve"> in years 1981, 1986 and 1999 and the thinning criteria and severities described in the table below.</w:t>
      </w:r>
    </w:p>
    <w:tbl>
      <w:tblPr>
        <w:tblW w:w="4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00"/>
        <w:gridCol w:w="1500"/>
      </w:tblGrid>
      <w:tr w:rsidR="00141AD2" w:rsidRPr="00141AD2" w:rsidTr="00141AD2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center"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proofErr w:type="spellStart"/>
            <w:r w:rsidRPr="00141AD2">
              <w:rPr>
                <w:rFonts w:eastAsia="Times New Roman" w:cstheme="minorHAnsi"/>
                <w:color w:val="000000"/>
                <w:lang w:eastAsia="pt-PT"/>
              </w:rPr>
              <w:t>Id_plot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proofErr w:type="spellStart"/>
            <w:r w:rsidRPr="00141AD2">
              <w:rPr>
                <w:rFonts w:eastAsia="Times New Roman" w:cstheme="minorHAnsi"/>
                <w:color w:val="000000"/>
                <w:lang w:eastAsia="pt-PT"/>
              </w:rPr>
              <w:t>Nr</w:t>
            </w:r>
            <w:proofErr w:type="spellEnd"/>
            <w:r w:rsidRPr="00141AD2"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proofErr w:type="spellStart"/>
            <w:r w:rsidRPr="00141AD2">
              <w:rPr>
                <w:rFonts w:eastAsia="Times New Roman" w:cstheme="minorHAnsi"/>
                <w:color w:val="000000"/>
                <w:lang w:eastAsia="pt-PT"/>
              </w:rPr>
              <w:t>trees</w:t>
            </w:r>
            <w:proofErr w:type="spellEnd"/>
            <w:r w:rsidRPr="00141AD2">
              <w:rPr>
                <w:rFonts w:eastAsia="Times New Roman" w:cstheme="minorHAnsi"/>
                <w:color w:val="000000"/>
                <w:lang w:eastAsia="pt-PT"/>
              </w:rPr>
              <w:t xml:space="preserve"> / </w:t>
            </w:r>
            <w:proofErr w:type="spellStart"/>
            <w:r w:rsidRPr="00141AD2">
              <w:rPr>
                <w:rFonts w:eastAsia="Times New Roman" w:cstheme="minorHAnsi"/>
                <w:color w:val="000000"/>
                <w:lang w:eastAsia="pt-PT"/>
              </w:rPr>
              <w:t>plot</w:t>
            </w:r>
            <w:proofErr w:type="spellEnd"/>
          </w:p>
        </w:tc>
        <w:tc>
          <w:tcPr>
            <w:tcW w:w="1500" w:type="dxa"/>
            <w:vAlign w:val="center"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eastAsia="Times New Roman" w:cstheme="minorHAnsi"/>
                <w:color w:val="000000"/>
                <w:lang w:eastAsia="pt-PT"/>
              </w:rPr>
              <w:t>Residual Basal área</w:t>
            </w:r>
          </w:p>
        </w:tc>
      </w:tr>
      <w:tr w:rsidR="00141AD2" w:rsidRPr="00141AD2" w:rsidTr="00141AD2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bottom"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eastAsia="Times New Roman" w:cstheme="minorHAnsi"/>
                <w:color w:val="000000"/>
                <w:lang w:eastAsia="pt-PT"/>
              </w:rPr>
              <w:t>SSB309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eastAsia="Times New Roman" w:cstheme="minorHAnsi"/>
                <w:color w:val="000000"/>
                <w:lang w:eastAsia="pt-PT"/>
              </w:rPr>
              <w:t>327</w:t>
            </w:r>
          </w:p>
        </w:tc>
        <w:tc>
          <w:tcPr>
            <w:tcW w:w="1500" w:type="dxa"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eastAsia="Times New Roman" w:cstheme="minorHAnsi"/>
                <w:color w:val="000000"/>
                <w:lang w:eastAsia="pt-PT"/>
              </w:rPr>
              <w:t>-</w:t>
            </w:r>
          </w:p>
        </w:tc>
      </w:tr>
      <w:tr w:rsidR="00141AD2" w:rsidRPr="00141AD2" w:rsidTr="00141AD2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eastAsia="Times New Roman" w:cstheme="minorHAnsi"/>
                <w:color w:val="000000"/>
                <w:lang w:eastAsia="pt-PT"/>
              </w:rPr>
              <w:t>SSB310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eastAsia="Times New Roman" w:cstheme="minorHAnsi"/>
                <w:color w:val="000000"/>
                <w:lang w:eastAsia="pt-PT"/>
              </w:rPr>
              <w:t>296</w:t>
            </w:r>
          </w:p>
        </w:tc>
        <w:tc>
          <w:tcPr>
            <w:tcW w:w="1500" w:type="dxa"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cstheme="minorHAnsi"/>
                <w:lang w:val="en-US"/>
              </w:rPr>
              <w:t>26-28 m</w:t>
            </w:r>
            <w:r w:rsidRPr="00141AD2">
              <w:rPr>
                <w:rFonts w:cstheme="minorHAnsi"/>
                <w:vertAlign w:val="superscript"/>
                <w:lang w:val="en-US"/>
              </w:rPr>
              <w:t>2</w:t>
            </w:r>
            <w:r w:rsidRPr="00141AD2">
              <w:rPr>
                <w:rFonts w:cstheme="minorHAnsi"/>
                <w:lang w:val="en-US"/>
              </w:rPr>
              <w:t>ha</w:t>
            </w:r>
            <w:r w:rsidRPr="00141AD2">
              <w:rPr>
                <w:rFonts w:cstheme="minorHAnsi"/>
                <w:vertAlign w:val="superscript"/>
                <w:lang w:val="en-US"/>
              </w:rPr>
              <w:t>-1</w:t>
            </w:r>
          </w:p>
        </w:tc>
      </w:tr>
      <w:tr w:rsidR="00141AD2" w:rsidRPr="00141AD2" w:rsidTr="00141AD2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eastAsia="Times New Roman" w:cstheme="minorHAnsi"/>
                <w:color w:val="000000"/>
                <w:lang w:eastAsia="pt-PT"/>
              </w:rPr>
              <w:t>SSB311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eastAsia="Times New Roman" w:cstheme="minorHAnsi"/>
                <w:color w:val="000000"/>
                <w:lang w:eastAsia="pt-PT"/>
              </w:rPr>
              <w:t>185</w:t>
            </w:r>
          </w:p>
        </w:tc>
        <w:tc>
          <w:tcPr>
            <w:tcW w:w="1500" w:type="dxa"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cstheme="minorHAnsi"/>
                <w:lang w:val="en-US"/>
              </w:rPr>
              <w:t>22-24 m</w:t>
            </w:r>
            <w:r w:rsidRPr="00141AD2">
              <w:rPr>
                <w:rFonts w:cstheme="minorHAnsi"/>
                <w:vertAlign w:val="superscript"/>
                <w:lang w:val="en-US"/>
              </w:rPr>
              <w:t>2</w:t>
            </w:r>
            <w:r w:rsidRPr="00141AD2">
              <w:rPr>
                <w:rFonts w:cstheme="minorHAnsi"/>
                <w:lang w:val="en-US"/>
              </w:rPr>
              <w:t>ha</w:t>
            </w:r>
            <w:r w:rsidRPr="00141AD2">
              <w:rPr>
                <w:rFonts w:cstheme="minorHAnsi"/>
                <w:vertAlign w:val="superscript"/>
                <w:lang w:val="en-US"/>
              </w:rPr>
              <w:t>-1</w:t>
            </w:r>
          </w:p>
        </w:tc>
      </w:tr>
      <w:tr w:rsidR="00141AD2" w:rsidRPr="00141AD2" w:rsidTr="00141AD2">
        <w:trPr>
          <w:trHeight w:val="285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eastAsia="Times New Roman" w:cstheme="minorHAnsi"/>
                <w:color w:val="000000"/>
                <w:lang w:eastAsia="pt-PT"/>
              </w:rPr>
              <w:t>SSB312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eastAsia="Times New Roman" w:cstheme="minorHAnsi"/>
                <w:color w:val="000000"/>
                <w:lang w:eastAsia="pt-PT"/>
              </w:rPr>
              <w:t>180</w:t>
            </w:r>
          </w:p>
        </w:tc>
        <w:tc>
          <w:tcPr>
            <w:tcW w:w="1500" w:type="dxa"/>
          </w:tcPr>
          <w:p w:rsidR="00141AD2" w:rsidRPr="00141AD2" w:rsidRDefault="00141AD2" w:rsidP="00AA04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141AD2">
              <w:rPr>
                <w:rFonts w:cstheme="minorHAnsi"/>
                <w:lang w:val="en-US"/>
              </w:rPr>
              <w:t>18-20 m</w:t>
            </w:r>
            <w:r w:rsidRPr="00141AD2">
              <w:rPr>
                <w:rFonts w:cstheme="minorHAnsi"/>
                <w:vertAlign w:val="superscript"/>
                <w:lang w:val="en-US"/>
              </w:rPr>
              <w:t>2</w:t>
            </w:r>
            <w:r w:rsidRPr="00141AD2">
              <w:rPr>
                <w:rFonts w:cstheme="minorHAnsi"/>
                <w:lang w:val="en-US"/>
              </w:rPr>
              <w:t>ha</w:t>
            </w:r>
            <w:r w:rsidRPr="00141AD2">
              <w:rPr>
                <w:rFonts w:cstheme="minorHAnsi"/>
                <w:vertAlign w:val="superscript"/>
                <w:lang w:val="en-US"/>
              </w:rPr>
              <w:t>-1</w:t>
            </w:r>
          </w:p>
        </w:tc>
      </w:tr>
    </w:tbl>
    <w:p w:rsidR="00141AD2" w:rsidRDefault="00141AD2" w:rsidP="00141AD2">
      <w:pPr>
        <w:jc w:val="center"/>
        <w:rPr>
          <w:rFonts w:ascii="Arial" w:hAnsi="Arial" w:cs="Arial"/>
          <w:color w:val="000000" w:themeColor="text1"/>
          <w:lang w:val="en-US"/>
        </w:rPr>
      </w:pPr>
    </w:p>
    <w:p w:rsidR="00141AD2" w:rsidRDefault="006D1214" w:rsidP="00141AD2">
      <w:pPr>
        <w:rPr>
          <w:lang w:val="en-US"/>
        </w:rPr>
      </w:pPr>
      <w:r>
        <w:rPr>
          <w:lang w:val="en-US"/>
        </w:rPr>
        <w:t>C</w:t>
      </w:r>
      <w:r w:rsidR="00141AD2" w:rsidRPr="00263BAB">
        <w:rPr>
          <w:lang w:val="en-US"/>
        </w:rPr>
        <w:t xml:space="preserve">ompare the simulations of the PINASTER model with real data </w:t>
      </w:r>
      <w:r>
        <w:rPr>
          <w:lang w:val="en-US"/>
        </w:rPr>
        <w:t>for one of</w:t>
      </w:r>
      <w:r w:rsidR="00141AD2" w:rsidRPr="00263BAB">
        <w:rPr>
          <w:lang w:val="en-US"/>
        </w:rPr>
        <w:t xml:space="preserve"> the </w:t>
      </w:r>
      <w:proofErr w:type="gramStart"/>
      <w:r>
        <w:rPr>
          <w:lang w:val="en-US"/>
        </w:rPr>
        <w:t>3</w:t>
      </w:r>
      <w:proofErr w:type="gramEnd"/>
      <w:r w:rsidR="00141AD2" w:rsidRPr="00263BAB">
        <w:rPr>
          <w:lang w:val="en-US"/>
        </w:rPr>
        <w:t xml:space="preserve"> </w:t>
      </w:r>
      <w:r>
        <w:rPr>
          <w:lang w:val="en-US"/>
        </w:rPr>
        <w:t xml:space="preserve">thinned plots of your choice </w:t>
      </w:r>
      <w:r w:rsidR="00141AD2">
        <w:rPr>
          <w:lang w:val="en-US"/>
        </w:rPr>
        <w:t>(SSB310, SSB311,</w:t>
      </w:r>
      <w:r w:rsidR="00141AD2" w:rsidRPr="00900BD1">
        <w:rPr>
          <w:lang w:val="en-US"/>
        </w:rPr>
        <w:t xml:space="preserve"> </w:t>
      </w:r>
      <w:r w:rsidR="00141AD2">
        <w:rPr>
          <w:lang w:val="en-US"/>
        </w:rPr>
        <w:t xml:space="preserve">SSB312) </w:t>
      </w:r>
      <w:r w:rsidR="00141AD2" w:rsidRPr="00263BAB">
        <w:rPr>
          <w:lang w:val="en-US"/>
        </w:rPr>
        <w:t xml:space="preserve">to evaluate the PINASTER model. </w:t>
      </w:r>
    </w:p>
    <w:p w:rsidR="00AD25EF" w:rsidRDefault="006D1214" w:rsidP="00D41DC6">
      <w:pPr>
        <w:rPr>
          <w:lang w:val="en-US"/>
        </w:rPr>
      </w:pPr>
      <w:r>
        <w:rPr>
          <w:lang w:val="en-US"/>
        </w:rPr>
        <w:t xml:space="preserve">The </w:t>
      </w:r>
      <w:r w:rsidRPr="00277C59">
        <w:rPr>
          <w:b/>
          <w:lang w:val="en-US"/>
        </w:rPr>
        <w:t>SSalvador</w:t>
      </w:r>
      <w:r w:rsidR="00277C59" w:rsidRPr="00277C59">
        <w:rPr>
          <w:b/>
          <w:lang w:val="en-US"/>
        </w:rPr>
        <w:t>_realData</w:t>
      </w:r>
      <w:r w:rsidRPr="00277C59">
        <w:rPr>
          <w:b/>
          <w:lang w:val="en-US"/>
        </w:rPr>
        <w:t>.xlsx</w:t>
      </w:r>
      <w:r>
        <w:rPr>
          <w:lang w:val="en-US"/>
        </w:rPr>
        <w:t xml:space="preserve"> </w:t>
      </w:r>
      <w:r w:rsidR="00DB2F76" w:rsidRPr="00263BAB">
        <w:rPr>
          <w:lang w:val="en-US"/>
        </w:rPr>
        <w:t xml:space="preserve">contain the evolution of diameter distributions and stand variables computed with the data from measurements </w:t>
      </w:r>
      <w:r>
        <w:rPr>
          <w:lang w:val="en-US"/>
        </w:rPr>
        <w:t>for each of the plots</w:t>
      </w:r>
      <w:r w:rsidR="00AD25EF">
        <w:rPr>
          <w:lang w:val="en-US"/>
        </w:rPr>
        <w:t xml:space="preserve"> 12 plots in the trial</w:t>
      </w:r>
      <w:r w:rsidR="00277C59">
        <w:rPr>
          <w:lang w:val="en-US"/>
        </w:rPr>
        <w:t>.</w:t>
      </w:r>
      <w:r w:rsidR="00AD25EF">
        <w:rPr>
          <w:lang w:val="en-US"/>
        </w:rPr>
        <w:t xml:space="preserve"> Inside </w:t>
      </w:r>
      <w:proofErr w:type="gramStart"/>
      <w:r w:rsidR="00AD25EF">
        <w:rPr>
          <w:lang w:val="en-US"/>
        </w:rPr>
        <w:t>you’ll</w:t>
      </w:r>
      <w:proofErr w:type="gramEnd"/>
      <w:r w:rsidR="00AD25EF">
        <w:rPr>
          <w:lang w:val="en-US"/>
        </w:rPr>
        <w:t xml:space="preserve"> find information about the codes</w:t>
      </w:r>
      <w:r w:rsidR="00AD25EF" w:rsidRPr="00AD25EF">
        <w:rPr>
          <w:lang w:val="en-US"/>
        </w:rPr>
        <w:t xml:space="preserve"> </w:t>
      </w:r>
      <w:r w:rsidR="00AD25EF">
        <w:rPr>
          <w:lang w:val="en-US"/>
        </w:rPr>
        <w:t>“</w:t>
      </w:r>
      <w:proofErr w:type="spellStart"/>
      <w:r w:rsidR="00AD25EF" w:rsidRPr="00AD25EF">
        <w:rPr>
          <w:lang w:val="en-US"/>
        </w:rPr>
        <w:t>Id_status</w:t>
      </w:r>
      <w:proofErr w:type="spellEnd"/>
      <w:r w:rsidR="00AD25EF">
        <w:rPr>
          <w:lang w:val="en-US"/>
        </w:rPr>
        <w:t xml:space="preserve">” (1 – </w:t>
      </w:r>
      <w:proofErr w:type="spellStart"/>
      <w:r w:rsidR="00AD25EF">
        <w:rPr>
          <w:lang w:val="en-US"/>
        </w:rPr>
        <w:t>unthinned</w:t>
      </w:r>
      <w:proofErr w:type="spellEnd"/>
      <w:r w:rsidR="00AD25EF">
        <w:rPr>
          <w:lang w:val="en-US"/>
        </w:rPr>
        <w:t>; 2 – thinned this year) and “S</w:t>
      </w:r>
      <w:r w:rsidR="00AD25EF" w:rsidRPr="00AD25EF">
        <w:rPr>
          <w:lang w:val="en-US"/>
        </w:rPr>
        <w:t>tatus</w:t>
      </w:r>
      <w:r w:rsidR="00AD25EF">
        <w:rPr>
          <w:lang w:val="en-US"/>
        </w:rPr>
        <w:t>”</w:t>
      </w:r>
      <w:r w:rsidR="00277C59">
        <w:rPr>
          <w:lang w:val="en-US"/>
        </w:rPr>
        <w:t xml:space="preserve"> </w:t>
      </w:r>
      <w:r w:rsidR="00AD25EF">
        <w:rPr>
          <w:lang w:val="en-US"/>
        </w:rPr>
        <w:t>(BT – before thinning; AT – after thinning).</w:t>
      </w:r>
    </w:p>
    <w:p w:rsidR="00277C59" w:rsidRDefault="00277C59" w:rsidP="00D41DC6">
      <w:pPr>
        <w:rPr>
          <w:lang w:val="en-US"/>
        </w:rPr>
      </w:pPr>
      <w:r>
        <w:rPr>
          <w:lang w:val="en-US"/>
        </w:rPr>
        <w:t xml:space="preserve">The tree level inputs for each of the plots are </w:t>
      </w:r>
      <w:r w:rsidRPr="00277C59">
        <w:rPr>
          <w:b/>
          <w:lang w:val="en-US"/>
        </w:rPr>
        <w:t>SSB309.csv</w:t>
      </w:r>
      <w:r>
        <w:rPr>
          <w:lang w:val="en-US"/>
        </w:rPr>
        <w:t xml:space="preserve">, </w:t>
      </w:r>
      <w:r w:rsidRPr="00277C59">
        <w:rPr>
          <w:b/>
          <w:lang w:val="en-US"/>
        </w:rPr>
        <w:t>SSB310</w:t>
      </w:r>
      <w:r w:rsidRPr="00277C59">
        <w:rPr>
          <w:b/>
          <w:lang w:val="en-US"/>
        </w:rPr>
        <w:t>.csv</w:t>
      </w:r>
      <w:r>
        <w:rPr>
          <w:lang w:val="en-US"/>
        </w:rPr>
        <w:t xml:space="preserve">, </w:t>
      </w:r>
      <w:r w:rsidRPr="00277C59">
        <w:rPr>
          <w:b/>
          <w:lang w:val="en-US"/>
        </w:rPr>
        <w:t>SSB311</w:t>
      </w:r>
      <w:r w:rsidRPr="00277C59">
        <w:rPr>
          <w:b/>
          <w:lang w:val="en-US"/>
        </w:rPr>
        <w:t>.csv</w:t>
      </w:r>
      <w:r>
        <w:rPr>
          <w:lang w:val="en-US"/>
        </w:rPr>
        <w:t xml:space="preserve"> and</w:t>
      </w:r>
      <w:r w:rsidRPr="00900BD1">
        <w:rPr>
          <w:lang w:val="en-US"/>
        </w:rPr>
        <w:t xml:space="preserve"> </w:t>
      </w:r>
      <w:r w:rsidRPr="00277C59">
        <w:rPr>
          <w:b/>
          <w:lang w:val="en-US"/>
        </w:rPr>
        <w:t>SSB312</w:t>
      </w:r>
      <w:r w:rsidRPr="00277C59">
        <w:rPr>
          <w:b/>
          <w:lang w:val="en-US"/>
        </w:rPr>
        <w:t>.csv</w:t>
      </w:r>
      <w:r>
        <w:rPr>
          <w:lang w:val="en-US"/>
        </w:rPr>
        <w:t xml:space="preserve">. Consider using the default costs </w:t>
      </w:r>
      <w:r w:rsidR="00AD25EF">
        <w:rPr>
          <w:lang w:val="en-US"/>
        </w:rPr>
        <w:t>(operations and consumables) and assortments.</w:t>
      </w:r>
    </w:p>
    <w:p w:rsidR="00DB2F76" w:rsidRDefault="00AD25EF" w:rsidP="00D41DC6">
      <w:pPr>
        <w:rPr>
          <w:lang w:val="en-US"/>
        </w:rPr>
      </w:pPr>
      <w:r>
        <w:rPr>
          <w:lang w:val="en-US"/>
        </w:rPr>
        <w:t xml:space="preserve">The characterization of the stand has to be </w:t>
      </w:r>
      <w:r w:rsidR="00DB2F76">
        <w:rPr>
          <w:lang w:val="en-US"/>
        </w:rPr>
        <w:t xml:space="preserve">made </w:t>
      </w:r>
      <w:proofErr w:type="spellStart"/>
      <w:r w:rsidR="00DB2F76">
        <w:rPr>
          <w:lang w:val="en-US"/>
        </w:rPr>
        <w:t>throught</w:t>
      </w:r>
      <w:proofErr w:type="spellEnd"/>
      <w:r w:rsidR="00DB2F76">
        <w:rPr>
          <w:lang w:val="en-US"/>
        </w:rPr>
        <w:t xml:space="preserve"> the interface. Note that all required inputs for stand characterization have been provided in the text (“</w:t>
      </w:r>
      <w:proofErr w:type="spellStart"/>
      <w:r w:rsidR="00DB2F76">
        <w:rPr>
          <w:lang w:val="en-US"/>
        </w:rPr>
        <w:t>Nr</w:t>
      </w:r>
      <w:proofErr w:type="spellEnd"/>
      <w:r w:rsidR="00DB2F76">
        <w:rPr>
          <w:lang w:val="en-US"/>
        </w:rPr>
        <w:t xml:space="preserve"> trees” is the number of trees in the </w:t>
      </w:r>
      <w:proofErr w:type="gramStart"/>
      <w:r w:rsidR="00DB2F76">
        <w:rPr>
          <w:lang w:val="en-US"/>
        </w:rPr>
        <w:t>plot,</w:t>
      </w:r>
      <w:proofErr w:type="gramEnd"/>
      <w:r w:rsidR="00DB2F76">
        <w:rPr>
          <w:lang w:val="en-US"/>
        </w:rPr>
        <w:t xml:space="preserve"> “area” is the plot area). You can leave the “thinning” (number of years since last thinning) set to zero.</w:t>
      </w:r>
    </w:p>
    <w:p w:rsidR="00DB2F76" w:rsidRDefault="00DB2F76" w:rsidP="00D41DC6">
      <w:pPr>
        <w:rPr>
          <w:lang w:val="en-US"/>
        </w:rPr>
      </w:pPr>
      <w:r>
        <w:rPr>
          <w:lang w:val="en-US"/>
        </w:rPr>
        <w:t xml:space="preserve">Please make sure that the id of the plot/stand (“Plot”) is the same in the tree level input file and in the generated stand level file, otherwise </w:t>
      </w:r>
      <w:proofErr w:type="gramStart"/>
      <w:r>
        <w:rPr>
          <w:lang w:val="en-US"/>
        </w:rPr>
        <w:t>you’ll</w:t>
      </w:r>
      <w:proofErr w:type="gramEnd"/>
      <w:r>
        <w:rPr>
          <w:lang w:val="en-US"/>
        </w:rPr>
        <w:t xml:space="preserve"> get the following message in the black window:</w:t>
      </w:r>
    </w:p>
    <w:p w:rsidR="00DB2F76" w:rsidRDefault="00DB2F76" w:rsidP="00D41DC6">
      <w:pPr>
        <w:rPr>
          <w:lang w:val="en-US"/>
        </w:rPr>
      </w:pPr>
      <w:r>
        <w:rPr>
          <w:noProof/>
          <w:lang w:eastAsia="pt-PT"/>
        </w:rPr>
        <w:lastRenderedPageBreak/>
        <w:drawing>
          <wp:inline distT="0" distB="0" distL="0" distR="0" wp14:anchorId="3B495221" wp14:editId="603CFA16">
            <wp:extent cx="5521565" cy="3118624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567" t="16005" r="22125" b="27815"/>
                    <a:stretch/>
                  </pic:blipFill>
                  <pic:spPr bwMode="auto">
                    <a:xfrm>
                      <a:off x="0" y="0"/>
                      <a:ext cx="5535420" cy="3126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AD2" w:rsidRDefault="00141AD2" w:rsidP="00D41DC6">
      <w:pPr>
        <w:rPr>
          <w:rFonts w:ascii="Arial" w:hAnsi="Arial" w:cs="Arial"/>
          <w:color w:val="000000" w:themeColor="text1"/>
          <w:lang w:val="en-US"/>
        </w:rPr>
      </w:pPr>
    </w:p>
    <w:p w:rsidR="00E40A36" w:rsidRDefault="00E40A36" w:rsidP="00D41DC6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1) Define the planning horizon and justify why </w:t>
      </w:r>
      <w:proofErr w:type="gramStart"/>
      <w:r>
        <w:rPr>
          <w:rFonts w:ascii="Arial" w:hAnsi="Arial" w:cs="Arial"/>
          <w:color w:val="000000" w:themeColor="text1"/>
          <w:lang w:val="en-US"/>
        </w:rPr>
        <w:t>you’ve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 chosen to simulate that number of years.</w:t>
      </w:r>
    </w:p>
    <w:p w:rsidR="00E40A36" w:rsidRDefault="00E40A36" w:rsidP="00D41DC6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2) Until what age will you have to define your FMA approach to guarantee you cover the whole simulation period? </w:t>
      </w:r>
    </w:p>
    <w:p w:rsidR="00E40A36" w:rsidRDefault="00E40A36" w:rsidP="00D41DC6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3) Use </w:t>
      </w:r>
      <w:r w:rsidR="00C500D8">
        <w:rPr>
          <w:rFonts w:ascii="Arial" w:hAnsi="Arial" w:cs="Arial"/>
          <w:color w:val="000000" w:themeColor="text1"/>
          <w:lang w:val="en-US"/>
        </w:rPr>
        <w:t xml:space="preserve">the generator to define the FMAs to reproduce the management carried out in each of your </w:t>
      </w:r>
      <w:proofErr w:type="gramStart"/>
      <w:r w:rsidR="00C500D8">
        <w:rPr>
          <w:rFonts w:ascii="Arial" w:hAnsi="Arial" w:cs="Arial"/>
          <w:color w:val="000000" w:themeColor="text1"/>
          <w:lang w:val="en-US"/>
        </w:rPr>
        <w:t>2</w:t>
      </w:r>
      <w:proofErr w:type="gramEnd"/>
      <w:r w:rsidR="00C500D8">
        <w:rPr>
          <w:rFonts w:ascii="Arial" w:hAnsi="Arial" w:cs="Arial"/>
          <w:color w:val="000000" w:themeColor="text1"/>
          <w:lang w:val="en-US"/>
        </w:rPr>
        <w:t xml:space="preserve"> plots: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7470"/>
      </w:tblGrid>
      <w:tr w:rsidR="00C500D8" w:rsidTr="00924838">
        <w:tc>
          <w:tcPr>
            <w:tcW w:w="1024" w:type="dxa"/>
          </w:tcPr>
          <w:p w:rsidR="00C500D8" w:rsidRDefault="00F55B40" w:rsidP="00D41D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plot</w:t>
            </w:r>
          </w:p>
        </w:tc>
        <w:tc>
          <w:tcPr>
            <w:tcW w:w="7470" w:type="dxa"/>
          </w:tcPr>
          <w:p w:rsidR="00C500D8" w:rsidRDefault="00F55B40" w:rsidP="00D41D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Description of FMA (disregard other operations apart from thinning)</w:t>
            </w:r>
          </w:p>
        </w:tc>
      </w:tr>
      <w:tr w:rsidR="00C500D8" w:rsidTr="00C500D8">
        <w:tc>
          <w:tcPr>
            <w:tcW w:w="704" w:type="dxa"/>
          </w:tcPr>
          <w:p w:rsidR="00C500D8" w:rsidRDefault="00C500D8" w:rsidP="00D41D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SSB309</w:t>
            </w:r>
          </w:p>
        </w:tc>
        <w:tc>
          <w:tcPr>
            <w:tcW w:w="7790" w:type="dxa"/>
          </w:tcPr>
          <w:p w:rsidR="00C500D8" w:rsidRDefault="00C500D8" w:rsidP="00D41D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At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age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22</w:t>
            </w:r>
            <w:r w:rsidRPr="00C500D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carry out a </w:t>
            </w:r>
            <w:r w:rsidRPr="00C500D8">
              <w:rPr>
                <w:rFonts w:ascii="Arial" w:hAnsi="Arial" w:cs="Arial"/>
                <w:color w:val="000000" w:themeColor="text1"/>
              </w:rPr>
              <w:t>low thinning</w:t>
            </w:r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C500D8">
              <w:rPr>
                <w:rFonts w:ascii="Arial" w:hAnsi="Arial" w:cs="Arial"/>
                <w:color w:val="000000" w:themeColor="text1"/>
              </w:rPr>
              <w:t>coniferous stands with more than 8 years</w:t>
            </w:r>
            <w:r>
              <w:rPr>
                <w:rFonts w:ascii="Arial" w:hAnsi="Arial" w:cs="Arial"/>
                <w:color w:val="000000" w:themeColor="text1"/>
              </w:rPr>
              <w:t xml:space="preserve">) considering </w:t>
            </w:r>
            <w:r w:rsidRPr="00C500D8">
              <w:rPr>
                <w:rFonts w:ascii="Arial" w:hAnsi="Arial" w:cs="Arial"/>
                <w:color w:val="000000" w:themeColor="text1"/>
              </w:rPr>
              <w:t>residual basal area</w:t>
            </w:r>
            <w:r>
              <w:rPr>
                <w:rFonts w:ascii="Arial" w:hAnsi="Arial" w:cs="Arial"/>
                <w:color w:val="000000" w:themeColor="text1"/>
              </w:rPr>
              <w:t xml:space="preserve"> as the criteria. Repeat the operation for age 37. Consult basal area in the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RealData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file to get the basal area at both these ages.</w:t>
            </w:r>
          </w:p>
        </w:tc>
      </w:tr>
      <w:tr w:rsidR="00924838" w:rsidTr="00C500D8">
        <w:tc>
          <w:tcPr>
            <w:tcW w:w="704" w:type="dxa"/>
          </w:tcPr>
          <w:p w:rsidR="00924838" w:rsidRDefault="00924838" w:rsidP="00D41D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SSB310</w:t>
            </w:r>
          </w:p>
        </w:tc>
        <w:tc>
          <w:tcPr>
            <w:tcW w:w="7790" w:type="dxa"/>
            <w:vMerge w:val="restart"/>
          </w:tcPr>
          <w:p w:rsidR="00924838" w:rsidRDefault="00924838" w:rsidP="00C500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 age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19, 24, 37</w:t>
            </w:r>
            <w:r w:rsidRPr="00C500D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carry out a</w:t>
            </w:r>
            <w:r w:rsidRPr="00C500D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500D8">
              <w:rPr>
                <w:rFonts w:ascii="Arial" w:hAnsi="Arial" w:cs="Arial"/>
                <w:color w:val="000000" w:themeColor="text1"/>
              </w:rPr>
              <w:t>low thinning</w:t>
            </w:r>
            <w:r w:rsidRPr="00C500D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500D8">
              <w:rPr>
                <w:rFonts w:ascii="Arial" w:hAnsi="Arial" w:cs="Arial"/>
                <w:color w:val="000000" w:themeColor="text1"/>
              </w:rPr>
              <w:t xml:space="preserve">coniferous </w:t>
            </w:r>
            <w:r>
              <w:rPr>
                <w:rFonts w:ascii="Arial" w:hAnsi="Arial" w:cs="Arial"/>
                <w:color w:val="000000" w:themeColor="text1"/>
              </w:rPr>
              <w:t>(</w:t>
            </w:r>
            <w:r w:rsidRPr="00C500D8">
              <w:rPr>
                <w:rFonts w:ascii="Arial" w:hAnsi="Arial" w:cs="Arial"/>
                <w:color w:val="000000" w:themeColor="text1"/>
              </w:rPr>
              <w:t>stands with more than 8 years</w:t>
            </w:r>
            <w:r>
              <w:rPr>
                <w:rFonts w:ascii="Arial" w:hAnsi="Arial" w:cs="Arial"/>
                <w:color w:val="000000" w:themeColor="text1"/>
              </w:rPr>
              <w:t>). Check the table above to know the criteria and thinning intensity.</w:t>
            </w:r>
          </w:p>
        </w:tc>
      </w:tr>
      <w:tr w:rsidR="00924838" w:rsidTr="00924838">
        <w:tc>
          <w:tcPr>
            <w:tcW w:w="1024" w:type="dxa"/>
          </w:tcPr>
          <w:p w:rsidR="00924838" w:rsidRDefault="00924838" w:rsidP="00C500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SSB31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470" w:type="dxa"/>
            <w:vMerge/>
          </w:tcPr>
          <w:p w:rsidR="00924838" w:rsidRDefault="00924838" w:rsidP="00D41DC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24838" w:rsidTr="00924838">
        <w:tc>
          <w:tcPr>
            <w:tcW w:w="1024" w:type="dxa"/>
          </w:tcPr>
          <w:p w:rsidR="00924838" w:rsidRDefault="00924838" w:rsidP="00C500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SSB31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470" w:type="dxa"/>
            <w:vMerge/>
          </w:tcPr>
          <w:p w:rsidR="00924838" w:rsidRDefault="00924838" w:rsidP="00D41DC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500D8" w:rsidRDefault="00C500D8" w:rsidP="00D41DC6">
      <w:pPr>
        <w:rPr>
          <w:rFonts w:ascii="Arial" w:hAnsi="Arial" w:cs="Arial"/>
          <w:color w:val="000000" w:themeColor="text1"/>
          <w:lang w:val="en-US"/>
        </w:rPr>
      </w:pPr>
    </w:p>
    <w:p w:rsidR="00924838" w:rsidRDefault="00F55B40" w:rsidP="0095718D">
      <w:pPr>
        <w:rPr>
          <w:lang w:val="en-US"/>
        </w:rPr>
      </w:pPr>
      <w:r>
        <w:rPr>
          <w:lang w:val="en-US"/>
        </w:rPr>
        <w:t>4) Have you encountered any problems so far? How do you propose to solve it?</w:t>
      </w:r>
    </w:p>
    <w:p w:rsidR="0095718D" w:rsidRPr="0095718D" w:rsidRDefault="00F55B40" w:rsidP="0095718D">
      <w:pPr>
        <w:rPr>
          <w:lang w:val="en-US"/>
        </w:rPr>
      </w:pPr>
      <w:r>
        <w:rPr>
          <w:lang w:val="en-US"/>
        </w:rPr>
        <w:t>5</w:t>
      </w:r>
      <w:r w:rsidR="00E40A36">
        <w:rPr>
          <w:lang w:val="en-US"/>
        </w:rPr>
        <w:t xml:space="preserve">) </w:t>
      </w:r>
      <w:r w:rsidR="00DB2F76">
        <w:rPr>
          <w:lang w:val="en-US"/>
        </w:rPr>
        <w:t>R</w:t>
      </w:r>
      <w:r w:rsidR="0095718D" w:rsidRPr="0095718D">
        <w:rPr>
          <w:lang w:val="en-US"/>
        </w:rPr>
        <w:t xml:space="preserve">epeat the following steps for each </w:t>
      </w:r>
      <w:r w:rsidR="00DB2F76">
        <w:rPr>
          <w:lang w:val="en-US"/>
        </w:rPr>
        <w:t xml:space="preserve">of the </w:t>
      </w:r>
      <w:proofErr w:type="gramStart"/>
      <w:r w:rsidR="00DB2F76">
        <w:rPr>
          <w:lang w:val="en-US"/>
        </w:rPr>
        <w:t>2</w:t>
      </w:r>
      <w:proofErr w:type="gramEnd"/>
      <w:r w:rsidR="00DB2F76">
        <w:rPr>
          <w:lang w:val="en-US"/>
        </w:rPr>
        <w:t xml:space="preserve"> selected </w:t>
      </w:r>
      <w:r w:rsidR="0095718D" w:rsidRPr="0095718D">
        <w:rPr>
          <w:lang w:val="en-US"/>
        </w:rPr>
        <w:t>plot</w:t>
      </w:r>
      <w:r w:rsidR="00DB2F76">
        <w:rPr>
          <w:lang w:val="en-US"/>
        </w:rPr>
        <w:t>s</w:t>
      </w:r>
      <w:r w:rsidR="0095718D" w:rsidRPr="0095718D">
        <w:rPr>
          <w:lang w:val="en-US"/>
        </w:rPr>
        <w:t>:</w:t>
      </w:r>
    </w:p>
    <w:p w:rsidR="00263BAB" w:rsidRPr="00263BAB" w:rsidRDefault="00263BAB" w:rsidP="00263BAB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lang w:val="en-US"/>
        </w:rPr>
      </w:pPr>
      <w:r w:rsidRPr="00263BAB">
        <w:rPr>
          <w:lang w:val="en-US"/>
        </w:rPr>
        <w:t xml:space="preserve">Project the stand, applying </w:t>
      </w:r>
      <w:proofErr w:type="spellStart"/>
      <w:r w:rsidRPr="00263BAB">
        <w:rPr>
          <w:lang w:val="en-US"/>
        </w:rPr>
        <w:t>thinnings</w:t>
      </w:r>
      <w:proofErr w:type="spellEnd"/>
      <w:r w:rsidRPr="00263BAB">
        <w:rPr>
          <w:lang w:val="en-US"/>
        </w:rPr>
        <w:t xml:space="preserve"> with a severity similar to the one used for each plot</w:t>
      </w:r>
    </w:p>
    <w:p w:rsidR="00263BAB" w:rsidRPr="00263BAB" w:rsidRDefault="00263BAB" w:rsidP="00263BAB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lang w:val="en-US"/>
        </w:rPr>
      </w:pPr>
      <w:r w:rsidRPr="00263BAB">
        <w:rPr>
          <w:lang w:val="en-US"/>
        </w:rPr>
        <w:t>Plot the observed and simulated data for the most important stand variables and for the diameter distributions</w:t>
      </w:r>
    </w:p>
    <w:p w:rsidR="00263BAB" w:rsidRDefault="00F55B40" w:rsidP="00263BAB">
      <w:pPr>
        <w:rPr>
          <w:lang w:eastAsia="pt-PT"/>
        </w:rPr>
      </w:pPr>
      <w:r>
        <w:t xml:space="preserve">6) </w:t>
      </w:r>
      <w:bookmarkStart w:id="0" w:name="_GoBack"/>
      <w:bookmarkEnd w:id="0"/>
      <w:r w:rsidR="00263BAB">
        <w:t xml:space="preserve">Discuss </w:t>
      </w:r>
      <w:proofErr w:type="spellStart"/>
      <w:r w:rsidR="00263BAB">
        <w:t>the</w:t>
      </w:r>
      <w:proofErr w:type="spellEnd"/>
      <w:r w:rsidR="00263BAB">
        <w:t xml:space="preserve"> </w:t>
      </w:r>
      <w:proofErr w:type="spellStart"/>
      <w:r w:rsidR="00263BAB">
        <w:t>results</w:t>
      </w:r>
      <w:proofErr w:type="spellEnd"/>
    </w:p>
    <w:p w:rsidR="00263BAB" w:rsidRDefault="00263BAB" w:rsidP="00D41DC6">
      <w:pPr>
        <w:rPr>
          <w:rFonts w:ascii="Arial" w:hAnsi="Arial" w:cs="Arial"/>
          <w:color w:val="000000" w:themeColor="text1"/>
          <w:lang w:val="en-US"/>
        </w:rPr>
      </w:pPr>
    </w:p>
    <w:sectPr w:rsidR="00263BA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0A" w:rsidRDefault="0060640A" w:rsidP="00923305">
      <w:pPr>
        <w:spacing w:after="0" w:line="240" w:lineRule="auto"/>
      </w:pPr>
      <w:r>
        <w:separator/>
      </w:r>
    </w:p>
  </w:endnote>
  <w:endnote w:type="continuationSeparator" w:id="0">
    <w:p w:rsidR="0060640A" w:rsidRDefault="0060640A" w:rsidP="0092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902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305" w:rsidRDefault="00923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3305" w:rsidRDefault="00923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0A" w:rsidRDefault="0060640A" w:rsidP="00923305">
      <w:pPr>
        <w:spacing w:after="0" w:line="240" w:lineRule="auto"/>
      </w:pPr>
      <w:r>
        <w:separator/>
      </w:r>
    </w:p>
  </w:footnote>
  <w:footnote w:type="continuationSeparator" w:id="0">
    <w:p w:rsidR="0060640A" w:rsidRDefault="0060640A" w:rsidP="0092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C25"/>
    <w:multiLevelType w:val="hybridMultilevel"/>
    <w:tmpl w:val="BBB461B2"/>
    <w:lvl w:ilvl="0" w:tplc="A87C2A0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E10"/>
    <w:multiLevelType w:val="hybridMultilevel"/>
    <w:tmpl w:val="601C9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1BC"/>
    <w:multiLevelType w:val="hybridMultilevel"/>
    <w:tmpl w:val="A8F8C910"/>
    <w:lvl w:ilvl="0" w:tplc="7B1EB37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12" w:hanging="360"/>
      </w:pPr>
    </w:lvl>
    <w:lvl w:ilvl="2" w:tplc="0816001B" w:tentative="1">
      <w:start w:val="1"/>
      <w:numFmt w:val="lowerRoman"/>
      <w:lvlText w:val="%3."/>
      <w:lvlJc w:val="right"/>
      <w:pPr>
        <w:ind w:left="2232" w:hanging="180"/>
      </w:pPr>
    </w:lvl>
    <w:lvl w:ilvl="3" w:tplc="0816000F" w:tentative="1">
      <w:start w:val="1"/>
      <w:numFmt w:val="decimal"/>
      <w:lvlText w:val="%4."/>
      <w:lvlJc w:val="left"/>
      <w:pPr>
        <w:ind w:left="2952" w:hanging="360"/>
      </w:pPr>
    </w:lvl>
    <w:lvl w:ilvl="4" w:tplc="08160019" w:tentative="1">
      <w:start w:val="1"/>
      <w:numFmt w:val="lowerLetter"/>
      <w:lvlText w:val="%5."/>
      <w:lvlJc w:val="left"/>
      <w:pPr>
        <w:ind w:left="3672" w:hanging="360"/>
      </w:pPr>
    </w:lvl>
    <w:lvl w:ilvl="5" w:tplc="0816001B" w:tentative="1">
      <w:start w:val="1"/>
      <w:numFmt w:val="lowerRoman"/>
      <w:lvlText w:val="%6."/>
      <w:lvlJc w:val="right"/>
      <w:pPr>
        <w:ind w:left="4392" w:hanging="180"/>
      </w:pPr>
    </w:lvl>
    <w:lvl w:ilvl="6" w:tplc="0816000F" w:tentative="1">
      <w:start w:val="1"/>
      <w:numFmt w:val="decimal"/>
      <w:lvlText w:val="%7."/>
      <w:lvlJc w:val="left"/>
      <w:pPr>
        <w:ind w:left="5112" w:hanging="360"/>
      </w:pPr>
    </w:lvl>
    <w:lvl w:ilvl="7" w:tplc="08160019" w:tentative="1">
      <w:start w:val="1"/>
      <w:numFmt w:val="lowerLetter"/>
      <w:lvlText w:val="%8."/>
      <w:lvlJc w:val="left"/>
      <w:pPr>
        <w:ind w:left="5832" w:hanging="360"/>
      </w:pPr>
    </w:lvl>
    <w:lvl w:ilvl="8" w:tplc="08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EC91FC8"/>
    <w:multiLevelType w:val="hybridMultilevel"/>
    <w:tmpl w:val="C74C4C2E"/>
    <w:lvl w:ilvl="0" w:tplc="F4B0C07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E2B83"/>
    <w:multiLevelType w:val="multilevel"/>
    <w:tmpl w:val="E10C08B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i w:val="0"/>
        <w:sz w:val="22"/>
        <w:szCs w:val="20"/>
      </w:rPr>
    </w:lvl>
    <w:lvl w:ilvl="1">
      <w:start w:val="1"/>
      <w:numFmt w:val="bullet"/>
      <w:pStyle w:val="Heading2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F8172D"/>
    <w:multiLevelType w:val="hybridMultilevel"/>
    <w:tmpl w:val="B34AAAB0"/>
    <w:lvl w:ilvl="0" w:tplc="7A0A481A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395A"/>
    <w:multiLevelType w:val="hybridMultilevel"/>
    <w:tmpl w:val="EC5C25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B0C53"/>
    <w:multiLevelType w:val="hybridMultilevel"/>
    <w:tmpl w:val="0336714A"/>
    <w:lvl w:ilvl="0" w:tplc="040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8" w15:restartNumberingAfterBreak="0">
    <w:nsid w:val="65595367"/>
    <w:multiLevelType w:val="hybridMultilevel"/>
    <w:tmpl w:val="E0CC895A"/>
    <w:lvl w:ilvl="0" w:tplc="040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9" w15:restartNumberingAfterBreak="0">
    <w:nsid w:val="6F960EBC"/>
    <w:multiLevelType w:val="hybridMultilevel"/>
    <w:tmpl w:val="9B72F5BC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DD"/>
    <w:rsid w:val="000B5B83"/>
    <w:rsid w:val="00107B6D"/>
    <w:rsid w:val="00121C62"/>
    <w:rsid w:val="00141AD2"/>
    <w:rsid w:val="00182824"/>
    <w:rsid w:val="00263BAB"/>
    <w:rsid w:val="00277C59"/>
    <w:rsid w:val="002E5EC4"/>
    <w:rsid w:val="002F51DD"/>
    <w:rsid w:val="0060640A"/>
    <w:rsid w:val="00674427"/>
    <w:rsid w:val="006D1214"/>
    <w:rsid w:val="00900BD1"/>
    <w:rsid w:val="00923305"/>
    <w:rsid w:val="00924838"/>
    <w:rsid w:val="0095718D"/>
    <w:rsid w:val="00AD25EF"/>
    <w:rsid w:val="00B524B4"/>
    <w:rsid w:val="00C500D8"/>
    <w:rsid w:val="00D050B9"/>
    <w:rsid w:val="00D41DC6"/>
    <w:rsid w:val="00DB2F76"/>
    <w:rsid w:val="00E40A36"/>
    <w:rsid w:val="00F55B40"/>
    <w:rsid w:val="00F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6EC0"/>
  <w15:chartTrackingRefBased/>
  <w15:docId w15:val="{FE9F6D11-3248-4F59-B506-325ED1D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DC6"/>
    <w:pPr>
      <w:keepNext/>
      <w:keepLines/>
      <w:numPr>
        <w:numId w:val="2"/>
      </w:numPr>
      <w:spacing w:before="240" w:after="0"/>
      <w:jc w:val="both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DC6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DC6"/>
    <w:pPr>
      <w:keepNext/>
      <w:keepLines/>
      <w:numPr>
        <w:ilvl w:val="2"/>
        <w:numId w:val="2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DC6"/>
    <w:pPr>
      <w:keepNext/>
      <w:keepLines/>
      <w:numPr>
        <w:ilvl w:val="3"/>
        <w:numId w:val="2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DC6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DC6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DC6"/>
    <w:pPr>
      <w:keepNext/>
      <w:keepLines/>
      <w:numPr>
        <w:ilvl w:val="6"/>
        <w:numId w:val="2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DC6"/>
    <w:pPr>
      <w:keepNext/>
      <w:keepLines/>
      <w:numPr>
        <w:ilvl w:val="7"/>
        <w:numId w:val="2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DC6"/>
    <w:pPr>
      <w:keepNext/>
      <w:keepLines/>
      <w:numPr>
        <w:ilvl w:val="8"/>
        <w:numId w:val="2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5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1DC6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DC6"/>
    <w:rPr>
      <w:rFonts w:asciiTheme="majorHAnsi" w:eastAsiaTheme="majorEastAsia" w:hAnsiTheme="majorHAns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D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D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DC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D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D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D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D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41D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305"/>
  </w:style>
  <w:style w:type="paragraph" w:styleId="Footer">
    <w:name w:val="footer"/>
    <w:basedOn w:val="Normal"/>
    <w:link w:val="FooterChar"/>
    <w:uiPriority w:val="99"/>
    <w:unhideWhenUsed/>
    <w:rsid w:val="00923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Miguel Barreiro</dc:creator>
  <cp:keywords/>
  <dc:description/>
  <cp:lastModifiedBy>Susana Barreiro</cp:lastModifiedBy>
  <cp:revision>9</cp:revision>
  <cp:lastPrinted>2019-09-24T17:49:00Z</cp:lastPrinted>
  <dcterms:created xsi:type="dcterms:W3CDTF">2019-09-24T16:56:00Z</dcterms:created>
  <dcterms:modified xsi:type="dcterms:W3CDTF">2019-10-31T23:15:00Z</dcterms:modified>
</cp:coreProperties>
</file>